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67FF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Style w:val="Siln"/>
          <w:rFonts w:ascii="Titillium Web" w:eastAsiaTheme="majorEastAsia" w:hAnsi="Titillium Web"/>
          <w:color w:val="303030"/>
          <w:spacing w:val="2"/>
          <w:u w:val="single"/>
        </w:rPr>
        <w:t>Pokyn ředitelky mateřské školy ke stanovení úplaty za předškolní vzdělávání</w:t>
      </w:r>
    </w:p>
    <w:p w14:paraId="656E9CF8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5F88BAA5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V souladu s § 123 odst. 2, 3 a 4 zákona č. 561/2004 Sb., o předškolním, základním, středním, vyšším odborném a jiném vzdělávání, (školský zákon) a podle § 6 odst. 1 až 6 vyhlášky č. 14/2005 a vyhlášky 43/2006 Sb., o předškolním vzdělávání, stanovuji úplatu za předškolní vzdělávání takto:</w:t>
      </w:r>
    </w:p>
    <w:p w14:paraId="1B6D4301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1. Základní částka</w:t>
      </w:r>
    </w:p>
    <w:p w14:paraId="49B048E4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Základní částku úplaty stanovuji ve výši                  300,00 </w:t>
      </w:r>
      <w:r>
        <w:rPr>
          <w:rFonts w:ascii="Titillium Web" w:hAnsi="Titillium Web"/>
          <w:color w:val="303030"/>
          <w:spacing w:val="2"/>
          <w:u w:val="single"/>
        </w:rPr>
        <w:t>Kč/</w:t>
      </w:r>
      <w:proofErr w:type="spellStart"/>
      <w:r>
        <w:rPr>
          <w:rFonts w:ascii="Titillium Web" w:hAnsi="Titillium Web"/>
          <w:color w:val="303030"/>
          <w:spacing w:val="2"/>
          <w:u w:val="single"/>
        </w:rPr>
        <w:t>měs</w:t>
      </w:r>
      <w:proofErr w:type="spellEnd"/>
      <w:r>
        <w:rPr>
          <w:rFonts w:ascii="Titillium Web" w:hAnsi="Titillium Web"/>
          <w:color w:val="303030"/>
          <w:spacing w:val="2"/>
          <w:u w:val="single"/>
        </w:rPr>
        <w:t>.</w:t>
      </w:r>
    </w:p>
    <w:p w14:paraId="0AE93044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2EED6796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2. Snížení úplaty</w:t>
      </w:r>
    </w:p>
    <w:p w14:paraId="64ABB8E3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- Zákonnému zástupci dítěte, které nedocházelo do mateřské školy ani jeden den příslušného měsíce</w:t>
      </w:r>
    </w:p>
    <w:p w14:paraId="2AE0BCAD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0AB2F505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Stanovuji sníženou úplatu ve výši                    </w:t>
      </w:r>
      <w:r>
        <w:rPr>
          <w:rFonts w:ascii="Titillium Web" w:hAnsi="Titillium Web"/>
          <w:color w:val="303030"/>
          <w:spacing w:val="2"/>
          <w:u w:val="single"/>
        </w:rPr>
        <w:t>10,- Kč</w:t>
      </w:r>
    </w:p>
    <w:p w14:paraId="0E6E6ED3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3D9E5C5C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7F4A08BD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563E3A43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 xml:space="preserve">O prázdninovém provozu se hradí nejnižší částka daná </w:t>
      </w:r>
      <w:proofErr w:type="gramStart"/>
      <w:r>
        <w:rPr>
          <w:rFonts w:ascii="Titillium Web" w:hAnsi="Titillium Web"/>
          <w:color w:val="303030"/>
          <w:spacing w:val="2"/>
        </w:rPr>
        <w:t>vyhláškou  (</w:t>
      </w:r>
      <w:proofErr w:type="gramEnd"/>
      <w:r>
        <w:rPr>
          <w:rFonts w:ascii="Titillium Web" w:hAnsi="Titillium Web"/>
          <w:color w:val="303030"/>
          <w:spacing w:val="2"/>
        </w:rPr>
        <w:t xml:space="preserve">polovina </w:t>
      </w:r>
      <w:proofErr w:type="gramStart"/>
      <w:r>
        <w:rPr>
          <w:rFonts w:ascii="Titillium Web" w:hAnsi="Titillium Web"/>
          <w:color w:val="303030"/>
          <w:spacing w:val="2"/>
        </w:rPr>
        <w:t>nákladů)  tj.</w:t>
      </w:r>
      <w:proofErr w:type="gramEnd"/>
      <w:r>
        <w:rPr>
          <w:rFonts w:ascii="Titillium Web" w:hAnsi="Titillium Web"/>
          <w:color w:val="303030"/>
          <w:spacing w:val="2"/>
        </w:rPr>
        <w:t> </w:t>
      </w:r>
      <w:r>
        <w:rPr>
          <w:rFonts w:ascii="Titillium Web" w:hAnsi="Titillium Web"/>
          <w:color w:val="303030"/>
          <w:spacing w:val="2"/>
          <w:u w:val="single"/>
        </w:rPr>
        <w:t>150,- Kč</w:t>
      </w:r>
    </w:p>
    <w:p w14:paraId="2C4E0311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- V případě přerušení provozu mateřské školy podle § 3 vyhlášky č,14/2005 o předškolním vzdělávání </w:t>
      </w:r>
      <w:r>
        <w:rPr>
          <w:rFonts w:ascii="Titillium Web" w:hAnsi="Titillium Web"/>
          <w:color w:val="303030"/>
          <w:spacing w:val="2"/>
          <w:u w:val="single"/>
        </w:rPr>
        <w:t>se úplata nehradí</w:t>
      </w:r>
    </w:p>
    <w:p w14:paraId="47D87E23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576BF22F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Pokud je </w:t>
      </w:r>
      <w:r>
        <w:rPr>
          <w:rStyle w:val="Siln"/>
          <w:rFonts w:ascii="Titillium Web" w:eastAsiaTheme="majorEastAsia" w:hAnsi="Titillium Web"/>
          <w:color w:val="303030"/>
          <w:spacing w:val="2"/>
        </w:rPr>
        <w:t>určitému dítěti/žákovi/studentovi/účastníkovi nařízena karanténa </w:t>
      </w:r>
      <w:r>
        <w:rPr>
          <w:rFonts w:ascii="Titillium Web" w:hAnsi="Titillium Web"/>
          <w:color w:val="303030"/>
          <w:spacing w:val="2"/>
        </w:rPr>
        <w:t>a škola není uzavřena, jedná se o jeho omluvenou nepřítomnost ve škole a </w:t>
      </w:r>
      <w:r>
        <w:rPr>
          <w:rStyle w:val="Siln"/>
          <w:rFonts w:ascii="Titillium Web" w:eastAsiaTheme="majorEastAsia" w:hAnsi="Titillium Web"/>
          <w:color w:val="303030"/>
          <w:spacing w:val="2"/>
        </w:rPr>
        <w:t>úplata se hradí.</w:t>
      </w:r>
    </w:p>
    <w:p w14:paraId="6336DD5F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lastRenderedPageBreak/>
        <w:t xml:space="preserve">Pokud na základě rozhodnutí KHS nebo </w:t>
      </w:r>
      <w:proofErr w:type="spellStart"/>
      <w:r>
        <w:rPr>
          <w:rFonts w:ascii="Titillium Web" w:hAnsi="Titillium Web"/>
          <w:color w:val="303030"/>
          <w:spacing w:val="2"/>
        </w:rPr>
        <w:t>MZd</w:t>
      </w:r>
      <w:proofErr w:type="spellEnd"/>
      <w:r>
        <w:rPr>
          <w:rFonts w:ascii="Titillium Web" w:hAnsi="Titillium Web"/>
          <w:color w:val="303030"/>
          <w:spacing w:val="2"/>
        </w:rPr>
        <w:t xml:space="preserve"> dojde k </w:t>
      </w:r>
      <w:r>
        <w:rPr>
          <w:rStyle w:val="Siln"/>
          <w:rFonts w:ascii="Titillium Web" w:eastAsiaTheme="majorEastAsia" w:hAnsi="Titillium Web"/>
          <w:color w:val="303030"/>
          <w:spacing w:val="2"/>
        </w:rPr>
        <w:t>uzavření školy</w:t>
      </w:r>
      <w:r>
        <w:rPr>
          <w:rFonts w:ascii="Titillium Web" w:hAnsi="Titillium Web"/>
          <w:color w:val="303030"/>
          <w:spacing w:val="2"/>
        </w:rPr>
        <w:t>, platí u škol a školských zařízení </w:t>
      </w:r>
      <w:r>
        <w:rPr>
          <w:rStyle w:val="Siln"/>
          <w:rFonts w:ascii="Titillium Web" w:eastAsiaTheme="majorEastAsia" w:hAnsi="Titillium Web"/>
          <w:color w:val="303030"/>
          <w:spacing w:val="2"/>
        </w:rPr>
        <w:t>veřejných zřizovatelů </w:t>
      </w:r>
      <w:r>
        <w:rPr>
          <w:rFonts w:ascii="Titillium Web" w:hAnsi="Titillium Web"/>
          <w:color w:val="303030"/>
          <w:spacing w:val="2"/>
        </w:rPr>
        <w:t>následující:</w:t>
      </w:r>
    </w:p>
    <w:p w14:paraId="4AD77FB8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 V </w:t>
      </w:r>
      <w:r>
        <w:rPr>
          <w:rStyle w:val="Siln"/>
          <w:rFonts w:ascii="Titillium Web" w:eastAsiaTheme="majorEastAsia" w:hAnsi="Titillium Web"/>
          <w:color w:val="303030"/>
          <w:spacing w:val="2"/>
        </w:rPr>
        <w:t>mateřských školách </w:t>
      </w:r>
      <w:r>
        <w:rPr>
          <w:rFonts w:ascii="Titillium Web" w:hAnsi="Titillium Web"/>
          <w:color w:val="303030"/>
          <w:spacing w:val="2"/>
        </w:rPr>
        <w:t>stanoví ředitel školy maximální výši úplaty poměrně poníženou podle délky omezení nebo přerušení provozu, je-li délka omezení nebo přerušení provozu více než 5 dnů provozu v kalendářním měsíci, a to i v případě, že mateřská škola poskytuje vzdělávání distančním způsobem.</w:t>
      </w:r>
    </w:p>
    <w:p w14:paraId="484B9980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174C8D4F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6ED5BFF3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3. Osvobození od úplaty</w:t>
      </w:r>
    </w:p>
    <w:p w14:paraId="1931CC95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26823AFC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Vzdělávání v posledním ročníku mateřské školy se poskytuje bezúplatně</w:t>
      </w:r>
    </w:p>
    <w:p w14:paraId="6D1D9AA1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23C1FE76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 xml:space="preserve">Na základě </w:t>
      </w:r>
      <w:proofErr w:type="spellStart"/>
      <w:r>
        <w:rPr>
          <w:rFonts w:ascii="Titillium Web" w:hAnsi="Titillium Web"/>
          <w:color w:val="303030"/>
          <w:spacing w:val="2"/>
        </w:rPr>
        <w:t>Vyhl.č</w:t>
      </w:r>
      <w:proofErr w:type="spellEnd"/>
      <w:r>
        <w:rPr>
          <w:rFonts w:ascii="Titillium Web" w:hAnsi="Titillium Web"/>
          <w:color w:val="303030"/>
          <w:spacing w:val="2"/>
        </w:rPr>
        <w:t xml:space="preserve">. 14/2005 Sb. o MŠ – novela </w:t>
      </w:r>
      <w:proofErr w:type="spellStart"/>
      <w:r>
        <w:rPr>
          <w:rFonts w:ascii="Titillium Web" w:hAnsi="Titillium Web"/>
          <w:color w:val="303030"/>
          <w:spacing w:val="2"/>
        </w:rPr>
        <w:t>vyhl.č</w:t>
      </w:r>
      <w:proofErr w:type="spellEnd"/>
      <w:r>
        <w:rPr>
          <w:rFonts w:ascii="Titillium Web" w:hAnsi="Titillium Web"/>
          <w:color w:val="303030"/>
          <w:spacing w:val="2"/>
        </w:rPr>
        <w:t>. 423/2023 Sb., účinnost 1.září 2024</w:t>
      </w:r>
    </w:p>
    <w:p w14:paraId="644BC4F7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-doplnění § 6 odst.6:</w:t>
      </w:r>
    </w:p>
    <w:p w14:paraId="49D0183D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(6) Osvobozen od úplaty je</w:t>
      </w:r>
    </w:p>
    <w:p w14:paraId="4F3EB433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a) zákonný zástupce dítěte, který pobírá opakující se dávku pomoci v hmotné nouzi,</w:t>
      </w:r>
    </w:p>
    <w:p w14:paraId="3393F2C7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b) zákonný zástupce nezaopatřeného dítěte, pokud tomuto dítěti náleží zvýšení příspěvku na péči6), nebo přídavek na dítě 11) až od 1.9.2024</w:t>
      </w:r>
    </w:p>
    <w:p w14:paraId="4DD5857F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c) rodič, kterému náleží zvýšení příspěvku na péči z důvodu péče o nezaopatřené dítě, nebo</w:t>
      </w:r>
    </w:p>
    <w:p w14:paraId="136F44BD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d) fyzická osoba, která o dítě osobně pečuje a z důvodu péče o toto dítě pobírá dávky pěstounské péče</w:t>
      </w:r>
    </w:p>
    <w:p w14:paraId="2EACB3D8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Pokud rodiče tuto skutečnost doloží řediteli školy písemným potvrzením příslušného orgánu (ÚP), budou od úplaty osvobozeni.</w:t>
      </w:r>
    </w:p>
    <w:p w14:paraId="327C2D40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60E0CA89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lastRenderedPageBreak/>
        <w:t>4. Splatnost úplaty</w:t>
      </w:r>
    </w:p>
    <w:p w14:paraId="2AC6E541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 xml:space="preserve">Úplata za kalendářní měsíc je splatná v hotovosti do 15 dne příslušného kalendářního měsíce. Jestliže zákonný zástupce opakovaně neuhradí úplatu za vzdělávání, může ředitelka školy rozhodnout o ukončení předškolního vzdělávání dle zákona č. 561/2004 </w:t>
      </w:r>
      <w:proofErr w:type="gramStart"/>
      <w:r>
        <w:rPr>
          <w:rFonts w:ascii="Titillium Web" w:hAnsi="Titillium Web"/>
          <w:color w:val="303030"/>
          <w:spacing w:val="2"/>
        </w:rPr>
        <w:t>Sb.,§</w:t>
      </w:r>
      <w:proofErr w:type="gramEnd"/>
      <w:r>
        <w:rPr>
          <w:rFonts w:ascii="Titillium Web" w:hAnsi="Titillium Web"/>
          <w:color w:val="303030"/>
          <w:spacing w:val="2"/>
        </w:rPr>
        <w:t xml:space="preserve"> 35 odst.</w:t>
      </w:r>
      <w:proofErr w:type="gramStart"/>
      <w:r>
        <w:rPr>
          <w:rFonts w:ascii="Titillium Web" w:hAnsi="Titillium Web"/>
          <w:color w:val="303030"/>
          <w:spacing w:val="2"/>
        </w:rPr>
        <w:t>1d</w:t>
      </w:r>
      <w:proofErr w:type="gramEnd"/>
      <w:r>
        <w:rPr>
          <w:rFonts w:ascii="Titillium Web" w:hAnsi="Titillium Web"/>
          <w:color w:val="303030"/>
          <w:spacing w:val="2"/>
        </w:rPr>
        <w:t>.</w:t>
      </w:r>
    </w:p>
    <w:p w14:paraId="2B55AF47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11320745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474D98B0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06E781BD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Dne 29.8. 2024</w:t>
      </w:r>
    </w:p>
    <w:p w14:paraId="7A68F56A" w14:textId="77777777" w:rsidR="00F85291" w:rsidRDefault="00F85291" w:rsidP="00F85291">
      <w:pPr>
        <w:pStyle w:val="Normlnweb"/>
        <w:shd w:val="clear" w:color="auto" w:fill="FFFFFF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                                   </w:t>
      </w:r>
    </w:p>
    <w:p w14:paraId="279BE7D5" w14:textId="77777777" w:rsidR="00F85291" w:rsidRDefault="00F85291" w:rsidP="00F85291">
      <w:pPr>
        <w:pStyle w:val="Normlnweb"/>
        <w:shd w:val="clear" w:color="auto" w:fill="FFFFFF"/>
        <w:ind w:left="360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2319A7AE" w14:textId="77777777" w:rsidR="00F85291" w:rsidRDefault="00F85291" w:rsidP="00F85291">
      <w:pPr>
        <w:pStyle w:val="Normlnweb"/>
        <w:shd w:val="clear" w:color="auto" w:fill="FFFFFF"/>
        <w:ind w:left="360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Platnost od 1. 9. 2024</w:t>
      </w:r>
    </w:p>
    <w:p w14:paraId="2A4274C3" w14:textId="77777777" w:rsidR="00F85291" w:rsidRDefault="00F85291" w:rsidP="00F85291">
      <w:pPr>
        <w:pStyle w:val="Normlnweb"/>
        <w:shd w:val="clear" w:color="auto" w:fill="FFFFFF"/>
        <w:ind w:left="360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> </w:t>
      </w:r>
    </w:p>
    <w:p w14:paraId="5286194E" w14:textId="77777777" w:rsidR="00F85291" w:rsidRDefault="00F85291" w:rsidP="00F85291">
      <w:pPr>
        <w:pStyle w:val="Normlnweb"/>
        <w:shd w:val="clear" w:color="auto" w:fill="FFFFFF"/>
        <w:ind w:left="360"/>
        <w:rPr>
          <w:rFonts w:ascii="Titillium Web" w:hAnsi="Titillium Web"/>
          <w:color w:val="303030"/>
          <w:spacing w:val="2"/>
        </w:rPr>
      </w:pPr>
      <w:r>
        <w:rPr>
          <w:rFonts w:ascii="Titillium Web" w:hAnsi="Titillium Web"/>
          <w:color w:val="303030"/>
          <w:spacing w:val="2"/>
        </w:rPr>
        <w:t xml:space="preserve">Mgr. Kateřina </w:t>
      </w:r>
      <w:proofErr w:type="spellStart"/>
      <w:r>
        <w:rPr>
          <w:rFonts w:ascii="Titillium Web" w:hAnsi="Titillium Web"/>
          <w:color w:val="303030"/>
          <w:spacing w:val="2"/>
        </w:rPr>
        <w:t>Pontová</w:t>
      </w:r>
      <w:proofErr w:type="spellEnd"/>
      <w:r>
        <w:rPr>
          <w:rFonts w:ascii="Titillium Web" w:hAnsi="Titillium Web"/>
          <w:color w:val="303030"/>
          <w:spacing w:val="2"/>
        </w:rPr>
        <w:t>, ředitelka školy</w:t>
      </w:r>
    </w:p>
    <w:p w14:paraId="0C6F899B" w14:textId="77777777" w:rsidR="00D206D3" w:rsidRDefault="00D206D3"/>
    <w:sectPr w:rsidR="00D2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91"/>
    <w:rsid w:val="00040484"/>
    <w:rsid w:val="000D1EAA"/>
    <w:rsid w:val="00924FBD"/>
    <w:rsid w:val="00C3231E"/>
    <w:rsid w:val="00C73214"/>
    <w:rsid w:val="00D206D3"/>
    <w:rsid w:val="00DC42A1"/>
    <w:rsid w:val="00F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F425F3"/>
  <w15:chartTrackingRefBased/>
  <w15:docId w15:val="{3F47CEB6-8864-E94D-943A-11C49C45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2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2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2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2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2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2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2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2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2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2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29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8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85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2025-07-03T10:21:00Z</dcterms:created>
  <dcterms:modified xsi:type="dcterms:W3CDTF">2025-07-03T10:21:00Z</dcterms:modified>
</cp:coreProperties>
</file>